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C84DA">
      <w:pPr>
        <w:spacing w:after="120" w:line="360" w:lineRule="auto"/>
        <w:jc w:val="center"/>
        <w:rPr>
          <w:rFonts w:hint="eastAsia" w:ascii="宋体" w:hAnsi="宋体" w:eastAsia="宋体" w:cs="宋体"/>
          <w:b w:val="0"/>
          <w:i w:val="0"/>
          <w:strike w:val="0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i w:val="0"/>
          <w:strike w:val="0"/>
          <w:color w:val="auto"/>
          <w:sz w:val="44"/>
          <w:szCs w:val="44"/>
          <w:u w:val="none"/>
        </w:rPr>
        <w:t>RPA财务机器人教学软件</w:t>
      </w:r>
      <w:r>
        <w:rPr>
          <w:rFonts w:hint="eastAsia" w:ascii="宋体" w:hAnsi="宋体" w:eastAsia="宋体" w:cs="宋体"/>
          <w:b w:val="0"/>
          <w:i w:val="0"/>
          <w:strike w:val="0"/>
          <w:color w:val="auto"/>
          <w:sz w:val="44"/>
          <w:szCs w:val="44"/>
          <w:u w:val="none"/>
          <w:lang w:val="en-US" w:eastAsia="zh-CN"/>
        </w:rPr>
        <w:t>采购需求</w:t>
      </w:r>
    </w:p>
    <w:p w14:paraId="2667F3DE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一、项目概述</w:t>
      </w:r>
      <w:bookmarkStart w:id="0" w:name="_GoBack"/>
      <w:bookmarkEnd w:id="0"/>
    </w:p>
    <w:p w14:paraId="48C6AD07">
      <w:pPr>
        <w:ind w:firstLine="60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本项目为商学院RPA财务机器人教学软件建设项目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color w:val="auto"/>
          <w:sz w:val="28"/>
          <w:szCs w:val="28"/>
        </w:rPr>
        <w:t>采购内容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包括</w:t>
      </w:r>
      <w:r>
        <w:rPr>
          <w:rFonts w:hint="eastAsia" w:ascii="仿宋_GB2312" w:eastAsia="仿宋_GB2312"/>
          <w:color w:val="auto"/>
          <w:sz w:val="28"/>
          <w:szCs w:val="28"/>
        </w:rPr>
        <w:t>RPA财务机器人教学平台、财务共享服务教学平台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的</w:t>
      </w:r>
      <w:r>
        <w:rPr>
          <w:rFonts w:hint="eastAsia" w:ascii="仿宋_GB2312" w:eastAsia="仿宋_GB2312"/>
          <w:color w:val="auto"/>
          <w:sz w:val="28"/>
          <w:szCs w:val="28"/>
        </w:rPr>
        <w:t>采购事项，具体建设内容详见附件。</w:t>
      </w:r>
    </w:p>
    <w:p w14:paraId="29702B53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预算控制价：</w:t>
      </w:r>
      <w:r>
        <w:rPr>
          <w:rFonts w:hint="eastAsia" w:ascii="仿宋" w:hAnsi="仿宋" w:eastAsia="仿宋" w:cs="Times New Roman"/>
          <w:b w:val="0"/>
          <w:bCs w:val="0"/>
          <w:color w:val="auto"/>
          <w:sz w:val="28"/>
          <w:szCs w:val="28"/>
          <w:lang w:val="en-US" w:eastAsia="zh-CN"/>
        </w:rPr>
        <w:t>36.8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万元</w:t>
      </w:r>
    </w:p>
    <w:p w14:paraId="7B7EA49E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采购方式：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询价采购</w:t>
      </w:r>
    </w:p>
    <w:p w14:paraId="5F86B87C">
      <w:pPr>
        <w:numPr>
          <w:ilvl w:val="0"/>
          <w:numId w:val="0"/>
        </w:numPr>
        <w:ind w:leftChars="0"/>
        <w:rPr>
          <w:rFonts w:hint="eastAsia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四、对投标人的要求</w:t>
      </w:r>
    </w:p>
    <w:p w14:paraId="2FCF6913">
      <w:pPr>
        <w:ind w:firstLine="600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(一) 投标人基本资格条件：符合《中华人民共和国政府采购法》第二十二条规定的供应商基本资质条件：</w:t>
      </w:r>
    </w:p>
    <w:p w14:paraId="36A6F705">
      <w:pPr>
        <w:ind w:firstLine="600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1. 具有独立承担民事责任的能力；</w:t>
      </w:r>
    </w:p>
    <w:p w14:paraId="7B861D26">
      <w:pPr>
        <w:ind w:firstLine="600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2. 具有良好的商业信誉和健全的财务会计制度；</w:t>
      </w:r>
    </w:p>
    <w:p w14:paraId="041A127D">
      <w:pPr>
        <w:ind w:firstLine="600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3. 具有履行合同所必需的设备和专业技术能力；</w:t>
      </w:r>
    </w:p>
    <w:p w14:paraId="3DDCD5A1">
      <w:pPr>
        <w:ind w:firstLine="600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4. 有依法缴纳税收和社会保障资金的良好记录；</w:t>
      </w:r>
    </w:p>
    <w:p w14:paraId="50F2F436">
      <w:pPr>
        <w:ind w:firstLine="600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5. 参加政府采购活动前三年内，在经营活动中没有重大违法记录；</w:t>
      </w:r>
    </w:p>
    <w:p w14:paraId="1EFFFD14">
      <w:pPr>
        <w:ind w:firstLine="60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6. 法律、行政法规规定的其他条件。</w:t>
      </w:r>
    </w:p>
    <w:p w14:paraId="38F14CD2">
      <w:pPr>
        <w:ind w:firstLine="60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(二) 根据《湖南省财政厅关于政府采购促进中小企业发展有关措施的通知》以上基本资格条件中的(2)(3)(4)(5) 证明文件可以以承诺方式递交，如果是承诺方式，请提供《湖南省政府采购供应商资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格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承诺函》</w:t>
      </w:r>
    </w:p>
    <w:p w14:paraId="3FAFBAFB">
      <w:pPr>
        <w:spacing w:after="120" w:line="360" w:lineRule="auto"/>
        <w:ind w:left="0" w:leftChars="0" w:firstLine="600" w:firstLineChars="200"/>
        <w:jc w:val="both"/>
        <w:rPr>
          <w:rFonts w:hint="eastAsia" w:ascii="宋体" w:hAnsi="宋体" w:eastAsia="宋体" w:cs="宋体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</w:pPr>
    </w:p>
    <w:p w14:paraId="67D74C3C">
      <w:pPr>
        <w:ind w:firstLine="60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（三）投标人必须有相关资质，提供有效的法人营业执照副本复印件。</w:t>
      </w:r>
    </w:p>
    <w:p w14:paraId="07DF1B48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五、供货时间或完成时间的要求</w:t>
      </w:r>
    </w:p>
    <w:p w14:paraId="527CF775">
      <w:pPr>
        <w:ind w:firstLine="560" w:firstLineChars="20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（一)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28"/>
          <w:szCs w:val="28"/>
        </w:rPr>
        <w:t>供货地点：娄底职业技术学院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综合校区实训楼</w:t>
      </w:r>
      <w:r>
        <w:rPr>
          <w:rFonts w:hint="eastAsia" w:ascii="仿宋_GB2312" w:eastAsia="仿宋_GB2312"/>
          <w:color w:val="auto"/>
          <w:sz w:val="28"/>
          <w:szCs w:val="28"/>
        </w:rPr>
        <w:t>。</w:t>
      </w:r>
    </w:p>
    <w:p w14:paraId="5BEC9A78">
      <w:pPr>
        <w:ind w:firstLine="560" w:firstLineChars="20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（二）供货时间：合同签订后30天内完成软件部署、安装、调试、测试、培训，确保RPA财务机器人教学平台、财务共享服务教学平台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能够</w:t>
      </w:r>
      <w:r>
        <w:rPr>
          <w:rFonts w:hint="eastAsia" w:ascii="仿宋_GB2312" w:eastAsia="仿宋_GB2312"/>
          <w:color w:val="auto"/>
          <w:sz w:val="28"/>
          <w:szCs w:val="28"/>
        </w:rPr>
        <w:t>满足正常使用。</w:t>
      </w:r>
    </w:p>
    <w:p w14:paraId="182590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 w:firstLine="560" w:firstLineChars="200"/>
        <w:jc w:val="left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（三）验货要求：中标人及时递交送货验收书面报告，采购方接到书面申请报告一周内组织验收，按国家相关标准、招标文件、投标文件、合同约定及技术参数逐项验收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color w:val="auto"/>
          <w:sz w:val="28"/>
          <w:szCs w:val="28"/>
        </w:rPr>
        <w:t>软件运行稳定、功能齐全、响应正常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并</w:t>
      </w:r>
      <w:r>
        <w:rPr>
          <w:rFonts w:hint="eastAsia" w:ascii="仿宋_GB2312" w:eastAsia="仿宋_GB2312"/>
          <w:color w:val="auto"/>
          <w:sz w:val="28"/>
          <w:szCs w:val="28"/>
        </w:rPr>
        <w:t>提供操作手册、加密狗等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color w:val="auto"/>
          <w:sz w:val="28"/>
          <w:szCs w:val="28"/>
        </w:rPr>
        <w:t>验收合格后签署验收报告。</w:t>
      </w:r>
    </w:p>
    <w:p w14:paraId="2E190F11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六、对投标产品的要求</w:t>
      </w:r>
    </w:p>
    <w:p w14:paraId="2205CE18">
      <w:pPr>
        <w:ind w:firstLine="560" w:firstLineChars="200"/>
        <w:rPr>
          <w:rFonts w:hint="eastAsia" w:ascii="仿宋_GB2312" w:eastAsia="仿宋_GB2312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软件应全部在指定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的服务器上进行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安装并调试合格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color w:val="auto"/>
          <w:sz w:val="28"/>
          <w:szCs w:val="28"/>
        </w:rPr>
        <w:t>项目相关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软件功能</w:t>
      </w:r>
      <w:r>
        <w:rPr>
          <w:rFonts w:hint="eastAsia" w:ascii="仿宋_GB2312" w:eastAsia="仿宋_GB2312"/>
          <w:color w:val="auto"/>
          <w:sz w:val="28"/>
          <w:szCs w:val="28"/>
        </w:rPr>
        <w:t>参数应符合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附件</w:t>
      </w:r>
      <w:r>
        <w:rPr>
          <w:rFonts w:hint="eastAsia" w:ascii="仿宋_GB2312" w:eastAsia="仿宋_GB2312"/>
          <w:color w:val="auto"/>
          <w:sz w:val="28"/>
          <w:szCs w:val="28"/>
        </w:rPr>
        <w:t>清单要求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投标时要标明品牌、产地、型号，分项报价不能超过分项控制价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另外</w:t>
      </w:r>
      <w:r>
        <w:rPr>
          <w:rFonts w:hint="eastAsia" w:ascii="仿宋_GB2312" w:eastAsia="仿宋_GB2312"/>
          <w:color w:val="auto"/>
          <w:sz w:val="28"/>
          <w:szCs w:val="28"/>
        </w:rPr>
        <w:t>总价不能超过项目预算控制价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。</w:t>
      </w:r>
    </w:p>
    <w:p w14:paraId="4F279803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七、付款方式</w:t>
      </w:r>
    </w:p>
    <w:p w14:paraId="0B9A7245">
      <w:pPr>
        <w:ind w:firstLine="560" w:firstLineChars="200"/>
        <w:rPr>
          <w:rFonts w:hint="eastAsia"/>
          <w:b/>
          <w:bCs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（一）本项目设履约保证金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壹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万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捌仟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元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整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，签订合同前交清，验收合格后一个月内无息退还；</w:t>
      </w:r>
    </w:p>
    <w:p w14:paraId="5F0544C7">
      <w:pPr>
        <w:ind w:firstLine="600"/>
        <w:rPr>
          <w:rFonts w:hint="eastAsia" w:ascii="仿宋_GB2312" w:eastAsia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</w:rPr>
        <w:t>（二）本项目经验收合格后，一个月内付合同总金额。</w:t>
      </w:r>
    </w:p>
    <w:p w14:paraId="62DE127E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八、售后服务</w:t>
      </w:r>
    </w:p>
    <w:p w14:paraId="3CE41F8A">
      <w:p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1.提供《财务机器人应用》课程的课件、案例、操作视频，支持日常教学与自主学习。提供《财务共享服务》课程的课件、案例、操作视频、习题资源，支持课程教学与实训开展。</w:t>
      </w:r>
    </w:p>
    <w:p w14:paraId="52C84AC7">
      <w:p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.提供不少于300人次的最新年度初级会计职称考试《初级会计实务》与《经济法基础》两门课程的课程资源，具体包括：①每门课程不少于60个知识点的视频，每门课程均提供基础班、习题班、冲刺班三种班型；②PPT课件；③无纸化机考模拟系统，模拟初级会计职称考试的考场，具备模拟考试与按章练习两种学习模式，学生可自主组卷练习，全面助力学生实现“岗课赛证”融合培养。</w:t>
      </w:r>
    </w:p>
    <w:p w14:paraId="7EAD0609">
      <w:p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3.免费提供RPA设计器的安装激活,提供2个加密狗，加密狗如有损坏，可以免费更换，更换时长不超过1周。</w:t>
      </w:r>
    </w:p>
    <w:p w14:paraId="4CD18224">
      <w:p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4.提供不少于5年的免费升级、免费师资培训、免费日常技术运维服务。</w:t>
      </w:r>
    </w:p>
    <w:p w14:paraId="0DE8ACB5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九、其它</w:t>
      </w:r>
    </w:p>
    <w:p w14:paraId="6166451A">
      <w:pPr>
        <w:ind w:firstLine="642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软件功能</w:t>
      </w:r>
      <w:r>
        <w:rPr>
          <w:rFonts w:hint="eastAsia" w:ascii="仿宋_GB2312" w:eastAsia="仿宋_GB2312"/>
          <w:color w:val="auto"/>
          <w:sz w:val="28"/>
          <w:szCs w:val="28"/>
        </w:rPr>
        <w:t>参数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详见附件，所有报价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均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为含税价。</w:t>
      </w:r>
    </w:p>
    <w:p w14:paraId="1C7FD0C3">
      <w:pPr>
        <w:ind w:firstLine="642"/>
        <w:jc w:val="center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                  </w:t>
      </w:r>
    </w:p>
    <w:p w14:paraId="3487EFE6">
      <w:pPr>
        <w:ind w:firstLine="642"/>
        <w:jc w:val="center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                     资产管理处</w:t>
      </w:r>
    </w:p>
    <w:p w14:paraId="34EB60F4">
      <w:pPr>
        <w:ind w:firstLine="5320" w:firstLineChars="1900"/>
        <w:jc w:val="both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2026年5月</w:t>
      </w:r>
    </w:p>
    <w:p w14:paraId="600265C7">
      <w:pPr>
        <w:ind w:firstLine="600"/>
        <w:rPr>
          <w:rFonts w:hint="eastAsia" w:ascii="仿宋_GB2312" w:eastAsia="仿宋"/>
          <w:color w:val="auto"/>
          <w:sz w:val="28"/>
          <w:szCs w:val="28"/>
          <w:lang w:eastAsia="zh-CN"/>
        </w:rPr>
      </w:pPr>
    </w:p>
    <w:p w14:paraId="2A38ECF5">
      <w:pPr>
        <w:pStyle w:val="3"/>
        <w:rPr>
          <w:rFonts w:hint="eastAsia" w:ascii="仿宋_GB2312" w:eastAsia="仿宋"/>
          <w:color w:val="auto"/>
          <w:sz w:val="28"/>
          <w:szCs w:val="28"/>
          <w:lang w:eastAsia="zh-CN"/>
        </w:rPr>
      </w:pPr>
    </w:p>
    <w:p w14:paraId="3C2BFA4E">
      <w:pPr>
        <w:pStyle w:val="4"/>
        <w:rPr>
          <w:rFonts w:hint="eastAsia" w:ascii="仿宋_GB2312" w:eastAsia="仿宋"/>
          <w:color w:val="auto"/>
          <w:sz w:val="28"/>
          <w:szCs w:val="28"/>
          <w:lang w:eastAsia="zh-CN"/>
        </w:rPr>
      </w:pPr>
    </w:p>
    <w:p w14:paraId="49631C34">
      <w:pPr>
        <w:pStyle w:val="5"/>
        <w:rPr>
          <w:rFonts w:hint="eastAsia" w:ascii="仿宋_GB2312" w:eastAsia="仿宋"/>
          <w:color w:val="auto"/>
          <w:sz w:val="28"/>
          <w:szCs w:val="28"/>
          <w:lang w:eastAsia="zh-CN"/>
        </w:rPr>
      </w:pPr>
    </w:p>
    <w:p w14:paraId="28C400C8">
      <w:pPr>
        <w:rPr>
          <w:rFonts w:hint="eastAsia" w:ascii="仿宋_GB2312" w:eastAsia="仿宋"/>
          <w:color w:val="auto"/>
          <w:sz w:val="28"/>
          <w:szCs w:val="28"/>
          <w:lang w:eastAsia="zh-CN"/>
        </w:rPr>
      </w:pPr>
    </w:p>
    <w:p w14:paraId="3221CC21">
      <w:pPr>
        <w:rPr>
          <w:rFonts w:hint="eastAsia" w:ascii="仿宋" w:hAnsi="仿宋" w:eastAsia="仿宋" w:cs="仿宋"/>
          <w:color w:val="auto"/>
          <w:sz w:val="30"/>
          <w:szCs w:val="30"/>
        </w:rPr>
      </w:pPr>
      <w:r>
        <w:rPr>
          <w:rFonts w:hint="eastAsia" w:ascii="仿宋" w:hAnsi="仿宋" w:eastAsia="仿宋" w:cs="仿宋"/>
          <w:color w:val="auto"/>
          <w:sz w:val="30"/>
          <w:szCs w:val="30"/>
        </w:rPr>
        <w:t>附件1：RPA财务机器人教学软件清单</w:t>
      </w:r>
    </w:p>
    <w:tbl>
      <w:tblPr>
        <w:tblStyle w:val="8"/>
        <w:tblW w:w="973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105"/>
        <w:gridCol w:w="3671"/>
        <w:gridCol w:w="552"/>
        <w:gridCol w:w="761"/>
        <w:gridCol w:w="960"/>
        <w:gridCol w:w="960"/>
        <w:gridCol w:w="961"/>
      </w:tblGrid>
      <w:tr w14:paraId="18AE1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549D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FC98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项目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E0DE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规格参数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6BC9B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单位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EA32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数量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8B7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单价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C18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小计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9D91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备注</w:t>
            </w:r>
          </w:p>
        </w:tc>
      </w:tr>
      <w:tr w14:paraId="23AE5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4F5003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EE0BF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RPA财务机器人</w:t>
            </w:r>
          </w:p>
          <w:p w14:paraId="6DEA3909">
            <w:pPr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教学平台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A3D20">
            <w:pPr>
              <w:pStyle w:val="2"/>
              <w:keepNext w:val="0"/>
              <w:keepLines w:val="0"/>
              <w:widowControl/>
              <w:spacing w:before="0" w:after="0" w:line="240" w:lineRule="atLeast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（一）总体要求</w:t>
            </w:r>
          </w:p>
          <w:p w14:paraId="64E402F9">
            <w:pPr>
              <w:widowControl/>
              <w:numPr>
                <w:ilvl w:val="0"/>
                <w:numId w:val="2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1.适配现有服务器与Win10实训室环境，支持本地部署，无节点限制，可满足200-400人同时在线教学与实训。除了因本地的服务器和计算机本身的硬件配置影响之外，平台的响应时间不超过1分钟。</w:t>
            </w:r>
          </w:p>
          <w:p w14:paraId="0B30CE9B">
            <w:pPr>
              <w:widowControl/>
              <w:numPr>
                <w:ilvl w:val="0"/>
                <w:numId w:val="2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.提供课程内容（RPA概述认知、RPA基础知识、RPA在财务中的应用、RPA财务机器人综合实战、业务流程自动化实现、机器人部署和运维）的教学管理、企业案例实训操作、考核评价功能，能够满足《财务机器人应用》《财务机器人应用实训》《企业财务机器人应用与开发》课程教学、技能竞赛备赛与教师能力提升。</w:t>
            </w:r>
          </w:p>
          <w:p w14:paraId="1243C5C1">
            <w:pPr>
              <w:widowControl/>
              <w:numPr>
                <w:ilvl w:val="0"/>
                <w:numId w:val="2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（二）教学管理功能</w:t>
            </w:r>
          </w:p>
          <w:p w14:paraId="0FCD1A8C">
            <w:pPr>
              <w:widowControl/>
              <w:numPr>
                <w:ilvl w:val="0"/>
                <w:numId w:val="3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1.提供用户权限分级（管理端/教师端/学生端），可批量导入学生信息、灵活设置教学班级。</w:t>
            </w:r>
          </w:p>
          <w:p w14:paraId="234776E3">
            <w:pPr>
              <w:widowControl/>
              <w:numPr>
                <w:ilvl w:val="0"/>
                <w:numId w:val="3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可以进行课程备课、教学设置、教学互动、成绩统计分析，实现过程化考核与成绩管理，具备学习进度统计、成绩自动核算。</w:t>
            </w:r>
          </w:p>
          <w:p w14:paraId="41C1E977">
            <w:pPr>
              <w:pStyle w:val="2"/>
              <w:keepNext w:val="0"/>
              <w:keepLines w:val="0"/>
              <w:widowControl/>
              <w:spacing w:before="0" w:after="0" w:line="240" w:lineRule="atLeast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（三）核心功能参数</w:t>
            </w:r>
          </w:p>
          <w:p w14:paraId="0B299BEB">
            <w:pPr>
              <w:widowControl/>
              <w:numPr>
                <w:ilvl w:val="0"/>
                <w:numId w:val="4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Style w:val="10"/>
                <w:rFonts w:hint="eastAsia" w:ascii="仿宋" w:hAnsi="仿宋" w:eastAsia="仿宋" w:cs="仿宋"/>
                <w:bCs/>
                <w:color w:val="auto"/>
                <w:sz w:val="24"/>
              </w:rPr>
              <w:t>1.RPA基础知识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：提供RPA企业财务机器人相关基础知识，包括但不限于：变量逻辑、组件调用等。其中，配备不少于6个教学课件、不少于10个教学视频，带领学生从零基础到能知晓 RPA工具基本的应用。</w:t>
            </w:r>
          </w:p>
          <w:p w14:paraId="23B1288C">
            <w:pPr>
              <w:widowControl/>
              <w:numPr>
                <w:ilvl w:val="0"/>
                <w:numId w:val="4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Style w:val="10"/>
                <w:rFonts w:hint="eastAsia" w:ascii="仿宋" w:hAnsi="仿宋" w:eastAsia="仿宋" w:cs="仿宋"/>
                <w:bCs/>
                <w:color w:val="auto"/>
                <w:sz w:val="24"/>
              </w:rPr>
              <w:t>2.RPA在财务中的应用：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提供RPA在Excel、Email、Web场景中的财务自动化应用。其中，配备不少于6个教学课件、不少于18个教学视频，带领学生从了解 RPA财务机器人才基本的工作场景当中的应用。</w:t>
            </w:r>
          </w:p>
          <w:p w14:paraId="09421BDB">
            <w:pPr>
              <w:widowControl/>
              <w:numPr>
                <w:ilvl w:val="0"/>
                <w:numId w:val="4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Style w:val="10"/>
                <w:rFonts w:hint="eastAsia" w:ascii="仿宋" w:hAnsi="仿宋" w:eastAsia="仿宋" w:cs="仿宋"/>
                <w:bCs/>
                <w:color w:val="auto"/>
                <w:sz w:val="24"/>
              </w:rPr>
              <w:t>3.RPA财务机器人综合实战及案例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：模拟企业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进行采购到付款机器人、销售到收款机器人、总账到报表机器人、资金管理机器人、税务管理机器人的教学应用与流程设计实训；模拟企业进行工资条发送机器人、网银付款机器人、汇率维护机器人、发票认证机器人、往来询证函生成机器人、股票分析机器人、人力资源维护机器人的流程搭建、开发、调试与运行实训。其中，配备不少于4个教学课件、不少于6个教学视频，指导学生能处理常见的财务场景的问题。</w:t>
            </w:r>
          </w:p>
          <w:p w14:paraId="119AD6E2">
            <w:pPr>
              <w:widowControl/>
              <w:numPr>
                <w:ilvl w:val="1"/>
                <w:numId w:val="2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4.配置实验环境：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仿真网银系统、纳税申报系统、全电票开票系统、发票认证系统、个税申报系统、政府采购系统、人力资源系统，界面与真实系统高度一致，可以进行机器人开发、调试、运行、结果验证，满足课程实训及学生竞赛备赛需求。</w:t>
            </w:r>
          </w:p>
          <w:p w14:paraId="65D86101">
            <w:pPr>
              <w:pStyle w:val="2"/>
              <w:keepNext w:val="0"/>
              <w:keepLines w:val="0"/>
              <w:widowControl/>
              <w:spacing w:before="0" w:after="0" w:line="240" w:lineRule="atLeast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（四）配套资源与服务</w:t>
            </w:r>
          </w:p>
          <w:p w14:paraId="684D3CEF">
            <w:pPr>
              <w:widowControl/>
              <w:numPr>
                <w:ilvl w:val="0"/>
                <w:numId w:val="5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1.提供《财务机器人应用》课程的课件、案例、操作视频，支持日常教学与自主学习。</w:t>
            </w:r>
          </w:p>
          <w:p w14:paraId="1132CD44">
            <w:pPr>
              <w:pStyle w:val="7"/>
              <w:shd w:val="clear" w:color="auto" w:fill="FFFFFF"/>
              <w:rPr>
                <w:rFonts w:ascii="仿宋" w:hAnsi="仿宋" w:eastAsia="仿宋" w:cs="仿宋"/>
                <w:color w:val="auto"/>
              </w:rPr>
            </w:pPr>
            <w:r>
              <w:rPr>
                <w:rFonts w:hint="eastAsia" w:ascii="仿宋" w:hAnsi="仿宋" w:eastAsia="仿宋" w:cs="仿宋"/>
                <w:color w:val="auto"/>
              </w:rPr>
              <w:t>2.提供不少于300人次的最新年度初级会计</w:t>
            </w:r>
            <w:r>
              <w:rPr>
                <w:rFonts w:hint="eastAsia" w:ascii="仿宋" w:hAnsi="仿宋" w:eastAsia="仿宋" w:cs="仿宋"/>
                <w:color w:val="auto"/>
              </w:rPr>
              <w:t>职称考试《初级会计实务》与《经济法基础》两门课程的课程资源，具体包括：①每门课程不少于60个知识点的视频，每门课程均提供基础班、习题班、冲刺班三种班型；其中，经济法基础配备不少于3</w:t>
            </w:r>
            <w:r>
              <w:rPr>
                <w:rFonts w:ascii="仿宋" w:hAnsi="仿宋" w:eastAsia="仿宋" w:cs="仿宋"/>
                <w:color w:val="auto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</w:rPr>
              <w:t>00道题，初级会计实务配备不少于3</w:t>
            </w:r>
            <w:r>
              <w:rPr>
                <w:rFonts w:ascii="仿宋" w:hAnsi="仿宋" w:eastAsia="仿宋" w:cs="仿宋"/>
                <w:color w:val="auto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</w:rPr>
              <w:t>00道题；②PPT课件；③无纸化机考模拟系统，模拟</w:t>
            </w:r>
            <w:r>
              <w:rPr>
                <w:rFonts w:hint="eastAsia" w:ascii="仿宋" w:hAnsi="仿宋" w:eastAsia="仿宋" w:cs="仿宋"/>
                <w:color w:val="auto"/>
              </w:rPr>
              <w:t>初级会计职称考试的考场，具备模拟考试与按章练习两种学习模式，学生可自主组卷练习，全面助力学生实现“岗课赛证”融合培养。</w:t>
            </w:r>
          </w:p>
          <w:p w14:paraId="6C91C723">
            <w:pPr>
              <w:widowControl/>
              <w:numPr>
                <w:ilvl w:val="0"/>
                <w:numId w:val="5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3.免费提供RPA设计器的安装激活,提供2个加密狗，加密狗如有损坏，可以免费更换，更换时长不超过1周。</w:t>
            </w:r>
          </w:p>
          <w:p w14:paraId="5D453257">
            <w:pPr>
              <w:widowControl/>
              <w:numPr>
                <w:ilvl w:val="0"/>
                <w:numId w:val="5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4.提供不少于5年的免费升级、免费师资培训、免费日常技术运维服务。  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0C10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套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047E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BA4CC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193000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A3C2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193000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BAF14">
            <w:pPr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</w:p>
        </w:tc>
      </w:tr>
      <w:tr w14:paraId="16909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6" w:hRule="atLeast"/>
          <w:jc w:val="center"/>
        </w:trPr>
        <w:tc>
          <w:tcPr>
            <w:tcW w:w="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D0BE1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264F2">
            <w:pPr>
              <w:jc w:val="center"/>
              <w:rPr>
                <w:rFonts w:ascii="仿宋" w:hAnsi="仿宋" w:eastAsia="仿宋" w:cs="仿宋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财务共享服务教学平台</w:t>
            </w:r>
          </w:p>
        </w:tc>
        <w:tc>
          <w:tcPr>
            <w:tcW w:w="3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0A823">
            <w:pPr>
              <w:pStyle w:val="2"/>
              <w:keepNext w:val="0"/>
              <w:keepLines w:val="0"/>
              <w:widowControl/>
              <w:spacing w:before="0" w:after="0" w:line="240" w:lineRule="atLeast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（一）总体要求</w:t>
            </w:r>
          </w:p>
          <w:p w14:paraId="5DCF7CB4">
            <w:pPr>
              <w:widowControl/>
              <w:numPr>
                <w:ilvl w:val="0"/>
                <w:numId w:val="2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1.适配现有服务器与Win10实训室环境，支持本地部署，无节点限制，可满足200-400人同时在线教学与实训。除了因本地的服务器和计算机本身的硬件配置影响之外，平台的响应时间不超过1分钟。</w:t>
            </w:r>
          </w:p>
          <w:p w14:paraId="7701B678">
            <w:pPr>
              <w:widowControl/>
              <w:numPr>
                <w:ilvl w:val="0"/>
                <w:numId w:val="6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2.贴合企业财务共享中心真实业务流程，能够满足《财务共享服务》《财务共享与服务基础》课程教学、仿真实训与岗位能力培养。</w:t>
            </w:r>
          </w:p>
          <w:p w14:paraId="47859383">
            <w:pPr>
              <w:pStyle w:val="2"/>
              <w:keepNext w:val="0"/>
              <w:keepLines w:val="0"/>
              <w:widowControl/>
              <w:spacing w:before="0" w:after="0" w:line="240" w:lineRule="atLeast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（二）教学管理功能</w:t>
            </w:r>
          </w:p>
          <w:p w14:paraId="5E67A883">
            <w:pPr>
              <w:widowControl/>
              <w:numPr>
                <w:ilvl w:val="0"/>
                <w:numId w:val="3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1.提供用户权限分级（管理端/教师端/学生端），可批量导入学生信息、灵活设置教学班级。</w:t>
            </w:r>
          </w:p>
          <w:p w14:paraId="05715BA1">
            <w:pPr>
              <w:widowControl/>
              <w:numPr>
                <w:ilvl w:val="0"/>
                <w:numId w:val="3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提供教学设置、学生学习权限管控，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支持过程化考核与成绩管理，具备学习进度统计、成绩自动核算。</w:t>
            </w:r>
          </w:p>
          <w:p w14:paraId="77433648">
            <w:pPr>
              <w:pStyle w:val="2"/>
              <w:keepNext w:val="0"/>
              <w:keepLines w:val="0"/>
              <w:widowControl/>
              <w:spacing w:before="0" w:after="0" w:line="240" w:lineRule="atLeast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（三）核心功能参数</w:t>
            </w:r>
          </w:p>
          <w:p w14:paraId="4A9AFC80">
            <w:pPr>
              <w:widowControl/>
              <w:numPr>
                <w:ilvl w:val="0"/>
                <w:numId w:val="7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Style w:val="10"/>
                <w:rFonts w:hint="eastAsia" w:ascii="仿宋" w:hAnsi="仿宋" w:eastAsia="仿宋" w:cs="仿宋"/>
                <w:bCs/>
                <w:color w:val="auto"/>
                <w:sz w:val="24"/>
              </w:rPr>
              <w:t>1.财务共享中心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不少于5个行业的企业案例，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能模拟企业的票据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影像采集、信息录入，系统自动生成记账凭证，完成从单据审核到账簿、报表的全流程账务处理，模拟企业财务共享中心的实际工作。</w:t>
            </w:r>
          </w:p>
          <w:p w14:paraId="070A512D">
            <w:pPr>
              <w:widowControl/>
              <w:numPr>
                <w:ilvl w:val="0"/>
                <w:numId w:val="7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Style w:val="10"/>
                <w:rFonts w:hint="eastAsia" w:ascii="仿宋" w:hAnsi="仿宋" w:eastAsia="仿宋" w:cs="仿宋"/>
                <w:bCs/>
                <w:color w:val="auto"/>
                <w:sz w:val="24"/>
              </w:rPr>
              <w:t>2.智能财务机器人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不少于5个行业的企业案例，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能模拟企业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基于OCR文字识别技术，自动识别、结构化解析各类财务票据，依据会计准则自动校验数据逻辑并生成记账凭证，实现票据智能识别、自动记账、自动化核算，包含让学生掌握智能财务机器人账务处理全流程操作。</w:t>
            </w:r>
          </w:p>
          <w:p w14:paraId="28747464">
            <w:pPr>
              <w:widowControl/>
              <w:numPr>
                <w:ilvl w:val="0"/>
                <w:numId w:val="7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Style w:val="10"/>
                <w:rFonts w:hint="eastAsia" w:ascii="仿宋" w:hAnsi="仿宋" w:eastAsia="仿宋" w:cs="仿宋"/>
                <w:bCs/>
                <w:color w:val="auto"/>
                <w:sz w:val="24"/>
              </w:rPr>
              <w:t>3.智能税务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：能模拟电子税务局进行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发票的开票、认证、纳税申报等业务流程，支持增值税、企业所得税等多税种实训。配备不少于4家企业案例，让学生体验真实的职业环境中网上报税全过程。</w:t>
            </w:r>
          </w:p>
          <w:p w14:paraId="34E63B1B">
            <w:pPr>
              <w:widowControl/>
              <w:numPr>
                <w:ilvl w:val="0"/>
                <w:numId w:val="7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Style w:val="10"/>
                <w:rFonts w:hint="eastAsia" w:ascii="仿宋" w:hAnsi="仿宋" w:eastAsia="仿宋" w:cs="仿宋"/>
                <w:bCs/>
                <w:color w:val="auto"/>
                <w:sz w:val="24"/>
              </w:rPr>
              <w:t>4.职业技能等级测评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：不少于</w:t>
            </w:r>
            <w:r>
              <w:rPr>
                <w:rFonts w:ascii="仿宋" w:hAnsi="仿宋" w:eastAsia="仿宋" w:cs="仿宋"/>
                <w:color w:val="auto"/>
                <w:sz w:val="24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套模拟卷，能提供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单选、多选、判断、技能操作等多种题型，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可开展财务共享职业技能综合测评。</w:t>
            </w:r>
          </w:p>
          <w:p w14:paraId="3AECC84A">
            <w:pPr>
              <w:pStyle w:val="2"/>
              <w:keepNext w:val="0"/>
              <w:keepLines w:val="0"/>
              <w:widowControl/>
              <w:spacing w:before="0" w:after="0" w:line="240" w:lineRule="atLeast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（四）配套资源与服务</w:t>
            </w:r>
          </w:p>
          <w:p w14:paraId="0110A6D8">
            <w:pPr>
              <w:widowControl/>
              <w:numPr>
                <w:ilvl w:val="0"/>
                <w:numId w:val="8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1.提供《财务共享服务》课程的课件、案例、操作视频、习题资源，支撑课程教学与实训开展。</w:t>
            </w:r>
          </w:p>
          <w:p w14:paraId="4A071545">
            <w:pPr>
              <w:widowControl/>
              <w:numPr>
                <w:ilvl w:val="0"/>
                <w:numId w:val="8"/>
              </w:numPr>
              <w:spacing w:line="240" w:lineRule="atLeast"/>
              <w:ind w:left="0"/>
              <w:jc w:val="left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2.提供不少于5年的免费升级、免费师资培训、免费日常技术运维服务。</w:t>
            </w:r>
          </w:p>
        </w:tc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0AE07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套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CC445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EE8F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175000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18C9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175000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6963B">
            <w:pPr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</w:p>
        </w:tc>
      </w:tr>
      <w:tr w14:paraId="0BE98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C70D31">
            <w:pPr>
              <w:widowControl/>
              <w:textAlignment w:val="center"/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4"/>
              </w:rPr>
              <w:t>总计</w:t>
            </w:r>
          </w:p>
        </w:tc>
        <w:tc>
          <w:tcPr>
            <w:tcW w:w="59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59CA2">
            <w:pPr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42E75">
            <w:pPr>
              <w:widowControl/>
              <w:jc w:val="right"/>
              <w:textAlignment w:val="center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lang w:val="en-US" w:eastAsia="zh-CN"/>
              </w:rPr>
              <w:t>368000</w:t>
            </w:r>
          </w:p>
        </w:tc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3AF0C9">
            <w:pPr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</w:p>
        </w:tc>
      </w:tr>
    </w:tbl>
    <w:p w14:paraId="59BA0D49">
      <w:pPr>
        <w:rPr>
          <w:color w:val="auto"/>
          <w:sz w:val="24"/>
        </w:rPr>
      </w:pPr>
    </w:p>
    <w:p w14:paraId="6CF7D1AA">
      <w:pPr>
        <w:rPr>
          <w:rFonts w:hint="eastAsia" w:ascii="仿宋_GB2312" w:eastAsia="仿宋"/>
          <w:color w:val="auto"/>
          <w:sz w:val="28"/>
          <w:szCs w:val="28"/>
          <w:lang w:eastAsia="zh-CN"/>
        </w:rPr>
      </w:pPr>
    </w:p>
    <w:p w14:paraId="32372B5D">
      <w:pPr>
        <w:pStyle w:val="3"/>
        <w:rPr>
          <w:rFonts w:hint="eastAsia" w:ascii="仿宋_GB2312" w:eastAsia="仿宋"/>
          <w:color w:val="auto"/>
          <w:sz w:val="28"/>
          <w:szCs w:val="28"/>
          <w:lang w:eastAsia="zh-CN"/>
        </w:rPr>
      </w:pPr>
    </w:p>
    <w:p w14:paraId="04047C7E">
      <w:pPr>
        <w:pStyle w:val="4"/>
        <w:rPr>
          <w:rFonts w:hint="eastAsia"/>
          <w:color w:val="auto"/>
          <w:lang w:eastAsia="zh-CN"/>
        </w:rPr>
      </w:pPr>
    </w:p>
    <w:p w14:paraId="429F3E81">
      <w:pPr>
        <w:spacing w:after="120" w:line="360" w:lineRule="auto"/>
        <w:ind w:left="0" w:leftChars="0" w:firstLine="600" w:firstLineChars="200"/>
        <w:jc w:val="center"/>
        <w:rPr>
          <w:rFonts w:hint="eastAsia" w:ascii="宋体" w:hAnsi="宋体" w:eastAsia="宋体" w:cs="宋体"/>
          <w:b w:val="0"/>
          <w:i w:val="0"/>
          <w:strike w:val="0"/>
          <w:color w:val="auto"/>
          <w:sz w:val="30"/>
          <w:szCs w:val="30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320EE3"/>
    <w:multiLevelType w:val="singleLevel"/>
    <w:tmpl w:val="DC320EE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00000003"/>
    <w:multiLevelType w:val="multilevel"/>
    <w:tmpl w:val="0000000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00000004"/>
    <w:multiLevelType w:val="multilevel"/>
    <w:tmpl w:val="0000000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00000005"/>
    <w:multiLevelType w:val="multilevel"/>
    <w:tmpl w:val="0000000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00000006"/>
    <w:multiLevelType w:val="multilevel"/>
    <w:tmpl w:val="0000000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60288"/>
    <w:rsid w:val="14FC3D7B"/>
    <w:rsid w:val="1D1A76AB"/>
    <w:rsid w:val="258A7D86"/>
    <w:rsid w:val="2B386B4C"/>
    <w:rsid w:val="2C1D3859"/>
    <w:rsid w:val="49B45646"/>
    <w:rsid w:val="4B4D3F6B"/>
    <w:rsid w:val="5DEB3404"/>
    <w:rsid w:val="5E587A58"/>
    <w:rsid w:val="62742987"/>
    <w:rsid w:val="63890285"/>
    <w:rsid w:val="671051F2"/>
    <w:rsid w:val="684A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rPr>
      <w:sz w:val="28"/>
    </w:rPr>
  </w:style>
  <w:style w:type="paragraph" w:customStyle="1" w:styleId="4">
    <w:name w:val="Default"/>
    <w:next w:val="5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5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401</Words>
  <Characters>427</Characters>
  <Lines>0</Lines>
  <Paragraphs>0</Paragraphs>
  <TotalTime>10</TotalTime>
  <ScaleCrop>false</ScaleCrop>
  <LinksUpToDate>false</LinksUpToDate>
  <CharactersWithSpaces>436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2026-05-18T00:23:00Z</dcterms:created>
  <dc:creator>刘双平</dc:creator>
  <cp:lastModifiedBy>资产处</cp:lastModifiedBy>
  <cp:lastPrinted>2026-05-18T03:18:00Z</cp:lastPrinted>
  <dcterms:modified xsi:type="dcterms:W3CDTF">2026-10-09T02:58:33Z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eyJoZGlkIjoiZGE3MzEyZmIwYTBjMDkwOWEwZTgxNzMzNDM3MTJhYzQiLCJ1c2VySWQiOiI3OTg4OTkyNTkifQ==</vt:lpwstr>
  </property>
  <property fmtid="{D5CDD505-2E9C-101B-9397-08002B2CF9AE}" pid="4" name="ICV">
    <vt:lpwstr>EEBB9C6A1B4C4999B00C0099FFF8B553_13</vt:lpwstr>
  </property>
</Properties>
</file>