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both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ind w:firstLine="723" w:firstLineChars="200"/>
        <w:jc w:val="both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ind w:firstLine="723" w:firstLineChars="200"/>
        <w:jc w:val="both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2020年</w:t>
      </w:r>
      <w:r>
        <w:rPr>
          <w:rFonts w:hint="eastAsia" w:ascii="宋体" w:hAnsi="宋体"/>
          <w:b/>
          <w:sz w:val="36"/>
          <w:szCs w:val="36"/>
        </w:rPr>
        <w:t>中国高等教育学会高等职业教育研究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专项课题</w:t>
      </w:r>
      <w:r>
        <w:rPr>
          <w:rFonts w:hint="eastAsia" w:ascii="宋体" w:hAnsi="宋体"/>
          <w:b/>
          <w:sz w:val="36"/>
          <w:szCs w:val="36"/>
          <w:lang w:eastAsia="zh-CN"/>
        </w:rPr>
        <w:t>单位推荐</w:t>
      </w:r>
      <w:r>
        <w:rPr>
          <w:rFonts w:hint="eastAsia" w:ascii="宋体" w:hAnsi="宋体"/>
          <w:b/>
          <w:sz w:val="36"/>
          <w:szCs w:val="36"/>
        </w:rPr>
        <w:t>汇总表</w:t>
      </w:r>
    </w:p>
    <w:p>
      <w:pPr>
        <w:spacing w:line="300" w:lineRule="exact"/>
        <w:rPr>
          <w:rFonts w:ascii="宋体" w:hAnsi="宋体" w:cs="Arial Unicode MS"/>
          <w:kern w:val="0"/>
          <w:sz w:val="24"/>
          <w:szCs w:val="21"/>
        </w:rPr>
      </w:pPr>
      <w:r>
        <w:rPr>
          <w:rFonts w:hint="eastAsia" w:ascii="宋体" w:hAnsi="宋体" w:cs="Arial Unicode MS"/>
          <w:kern w:val="0"/>
          <w:sz w:val="24"/>
          <w:szCs w:val="21"/>
        </w:rPr>
        <w:t xml:space="preserve"> </w:t>
      </w:r>
    </w:p>
    <w:tbl>
      <w:tblPr>
        <w:tblStyle w:val="2"/>
        <w:tblW w:w="8309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4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1270" w:hRule="atLeast"/>
        </w:trPr>
        <w:tc>
          <w:tcPr>
            <w:tcW w:w="694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课题名称</w:t>
            </w:r>
          </w:p>
        </w:tc>
        <w:tc>
          <w:tcPr>
            <w:tcW w:w="13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课题类别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1+X证书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背景下高职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会计专业人才培养方案的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重构研究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基于成果导向的幼儿发展与健康管理专业教育实习课程设计研究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一般课题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F0E22"/>
    <w:rsid w:val="3D9E68C8"/>
    <w:rsid w:val="7A8D51C4"/>
    <w:rsid w:val="7C5B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2020-06-22T01:17:03Z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